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rPr>
      </w:pPr>
      <w:r>
        <w:rPr>
          <w:rFonts w:hint="eastAsia" w:ascii="仿宋" w:hAnsi="仿宋" w:eastAsia="仿宋" w:cs="仿宋"/>
          <w:b/>
          <w:bCs/>
          <w:kern w:val="0"/>
          <w:sz w:val="40"/>
          <w:szCs w:val="40"/>
          <w:lang w:val="zh-TW" w:eastAsia="zh-TW"/>
        </w:rPr>
        <w:t>英吉沙县</w:t>
      </w:r>
      <w:r>
        <w:rPr>
          <w:rFonts w:hint="eastAsia" w:ascii="仿宋" w:hAnsi="仿宋" w:eastAsia="仿宋" w:cs="仿宋"/>
          <w:b/>
          <w:bCs/>
          <w:kern w:val="0"/>
          <w:sz w:val="40"/>
          <w:szCs w:val="40"/>
          <w:lang w:val="zh-TW" w:eastAsia="zh-CN"/>
        </w:rPr>
        <w:t>育苗</w:t>
      </w:r>
      <w:r>
        <w:rPr>
          <w:rFonts w:hint="eastAsia" w:ascii="仿宋" w:hAnsi="仿宋" w:eastAsia="仿宋" w:cs="仿宋"/>
          <w:b/>
          <w:bCs/>
          <w:kern w:val="0"/>
          <w:sz w:val="40"/>
          <w:szCs w:val="40"/>
          <w:lang w:val="zh-TW" w:eastAsia="zh-TW"/>
        </w:rPr>
        <w:t>补助项目</w:t>
      </w:r>
    </w:p>
    <w:p>
      <w:pPr>
        <w:pStyle w:val="50"/>
        <w:keepNext w:val="0"/>
        <w:keepLines w:val="0"/>
        <w:pageBreakBefore w:val="0"/>
        <w:widowControl w:val="0"/>
        <w:kinsoku/>
        <w:wordWrap/>
        <w:overflowPunct/>
        <w:topLinePunct w:val="0"/>
        <w:autoSpaceDE/>
        <w:autoSpaceDN/>
        <w:bidi w:val="0"/>
        <w:spacing w:line="570" w:lineRule="exact"/>
        <w:jc w:val="center"/>
        <w:textAlignment w:val="auto"/>
        <w:rPr>
          <w:rFonts w:ascii="仿宋_GB2312" w:hAnsi="仿宋_GB2312" w:eastAsia="仿宋_GB2312" w:cs="仿宋_GB2312"/>
          <w:color w:val="auto"/>
          <w:kern w:val="0"/>
          <w:sz w:val="36"/>
          <w:szCs w:val="36"/>
          <w:lang w:val="zh-TW"/>
        </w:rPr>
      </w:pPr>
      <w:r>
        <w:rPr>
          <w:rFonts w:hint="eastAsia" w:ascii="仿宋" w:hAnsi="仿宋" w:eastAsia="仿宋" w:cs="仿宋"/>
          <w:b/>
          <w:bCs/>
          <w:kern w:val="0"/>
          <w:sz w:val="40"/>
          <w:szCs w:val="40"/>
          <w:lang w:val="zh-TW" w:eastAsia="zh-TW"/>
        </w:rPr>
        <w:t>绩效自评报告</w:t>
      </w:r>
    </w:p>
    <w:p>
      <w:pPr>
        <w:pStyle w:val="50"/>
        <w:spacing w:line="700" w:lineRule="exact"/>
        <w:ind w:firstLine="624" w:firstLineChars="200"/>
        <w:jc w:val="left"/>
        <w:rPr>
          <w:rStyle w:val="20"/>
          <w:rFonts w:ascii="黑体" w:hAnsi="黑体" w:eastAsia="黑体" w:cs="Arial Unicode MS"/>
          <w:b w:val="0"/>
          <w:color w:val="auto"/>
          <w:spacing w:val="-4"/>
          <w:sz w:val="32"/>
          <w:szCs w:val="32"/>
        </w:rPr>
      </w:pPr>
      <w:r>
        <w:rPr>
          <w:rStyle w:val="20"/>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adjustRightInd w:val="0"/>
        <w:snapToGrid w:val="0"/>
        <w:spacing w:line="360" w:lineRule="auto"/>
        <w:ind w:firstLine="627" w:firstLineChars="20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（二）项目预算绩效目标设定情况。</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1</w:t>
      </w:r>
      <w:r>
        <w:rPr>
          <w:rFonts w:hint="eastAsia" w:ascii="楷体_GB2312" w:hAnsi="仿宋" w:eastAsia="楷体_GB2312"/>
          <w:b/>
          <w:bCs/>
          <w:spacing w:val="-4"/>
          <w:sz w:val="32"/>
          <w:szCs w:val="32"/>
        </w:rPr>
        <w:t>、项目预期目标及阶段性目标。</w:t>
      </w:r>
      <w:bookmarkStart w:id="0" w:name="_Toc405279309"/>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12.24</w:t>
      </w:r>
      <w:r>
        <w:rPr>
          <w:rFonts w:hint="eastAsia" w:ascii="楷体_GB2312" w:hAnsi="仿宋" w:eastAsia="楷体_GB2312"/>
          <w:bCs/>
          <w:spacing w:val="-4"/>
          <w:sz w:val="32"/>
          <w:szCs w:val="32"/>
        </w:rPr>
        <w:t>万元，</w:t>
      </w:r>
      <w:bookmarkEnd w:id="0"/>
      <w:r>
        <w:rPr>
          <w:rFonts w:hint="eastAsia" w:ascii="楷体_GB2312" w:hAnsi="仿宋" w:eastAsia="楷体_GB2312"/>
          <w:bCs/>
          <w:spacing w:val="-4"/>
          <w:sz w:val="32"/>
          <w:szCs w:val="32"/>
        </w:rPr>
        <w:t>主要为全乡</w:t>
      </w:r>
      <w:r>
        <w:rPr>
          <w:rFonts w:hint="eastAsia" w:ascii="楷体_GB2312" w:hAnsi="仿宋" w:eastAsia="楷体_GB2312"/>
          <w:bCs/>
          <w:spacing w:val="-4"/>
          <w:sz w:val="32"/>
          <w:szCs w:val="32"/>
          <w:lang w:eastAsia="zh-CN"/>
        </w:rPr>
        <w:t>810</w:t>
      </w:r>
      <w:r>
        <w:rPr>
          <w:rFonts w:hint="eastAsia" w:ascii="楷体_GB2312" w:hAnsi="仿宋" w:eastAsia="楷体_GB2312"/>
          <w:bCs/>
          <w:spacing w:val="-4"/>
          <w:sz w:val="32"/>
          <w:szCs w:val="32"/>
        </w:rPr>
        <w:t>户贫困户</w:t>
      </w:r>
      <w:r>
        <w:rPr>
          <w:rFonts w:hint="eastAsia" w:ascii="楷体_GB2312" w:hAnsi="仿宋" w:eastAsia="楷体_GB2312"/>
          <w:bCs/>
          <w:spacing w:val="-4"/>
          <w:sz w:val="32"/>
          <w:szCs w:val="32"/>
          <w:lang w:eastAsia="zh-CN"/>
        </w:rPr>
        <w:t>612000</w:t>
      </w:r>
      <w:r>
        <w:rPr>
          <w:rFonts w:hint="eastAsia" w:ascii="楷体_GB2312" w:hAnsi="仿宋" w:eastAsia="楷体_GB2312"/>
          <w:bCs/>
          <w:spacing w:val="-4"/>
          <w:sz w:val="32"/>
          <w:szCs w:val="32"/>
        </w:rPr>
        <w:t>株春提早拱棚种植蔬菜苗进行补贴，每株补贴</w:t>
      </w:r>
      <w:r>
        <w:rPr>
          <w:rFonts w:ascii="楷体_GB2312" w:hAnsi="仿宋" w:eastAsia="楷体_GB2312"/>
          <w:bCs/>
          <w:spacing w:val="-4"/>
          <w:sz w:val="32"/>
          <w:szCs w:val="32"/>
        </w:rPr>
        <w:t>0.21</w:t>
      </w:r>
      <w:r>
        <w:rPr>
          <w:rFonts w:hint="eastAsia" w:ascii="楷体_GB2312" w:hAnsi="仿宋" w:eastAsia="楷体_GB2312"/>
          <w:bCs/>
          <w:spacing w:val="-4"/>
          <w:sz w:val="32"/>
          <w:szCs w:val="32"/>
        </w:rPr>
        <w:t>元。</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该项目的及时有效实施，切实解决贫困户在春提早拱棚种植中遇到的困难，乡集中育苗免费发给贫困户、同时发放蔬菜苗补贴，降低了贫困户的投入成本，极大的提高了农民种植拱棚的积极性，为贫困户在产业发展上扶贫起到关键性作用，为农民在拱棚种植上增加收入、为坚决打赢脱贫攻坚战、全面建成小康社会奠定坚实的基础。</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2</w:t>
      </w:r>
      <w:r>
        <w:rPr>
          <w:rFonts w:hint="eastAsia" w:ascii="楷体_GB2312" w:hAnsi="仿宋" w:eastAsia="楷体_GB2312"/>
          <w:b/>
          <w:bCs/>
          <w:spacing w:val="-4"/>
          <w:sz w:val="32"/>
          <w:szCs w:val="32"/>
        </w:rPr>
        <w:t>、项目基本性质。</w:t>
      </w:r>
      <w:r>
        <w:rPr>
          <w:rFonts w:hint="eastAsia" w:ascii="楷体_GB2312" w:hAnsi="仿宋" w:eastAsia="楷体_GB2312"/>
          <w:bCs/>
          <w:spacing w:val="-4"/>
          <w:sz w:val="32"/>
          <w:szCs w:val="32"/>
        </w:rPr>
        <w:t>本项目性质为一次性新增项目。</w:t>
      </w:r>
    </w:p>
    <w:p>
      <w:pPr>
        <w:adjustRightInd w:val="0"/>
        <w:snapToGrid w:val="0"/>
        <w:spacing w:line="360" w:lineRule="auto"/>
        <w:ind w:firstLine="627" w:firstLineChars="200"/>
        <w:rPr>
          <w:rFonts w:ascii="楷体_GB2312" w:hAnsi="仿宋" w:eastAsia="楷体_GB2312"/>
          <w:bCs/>
          <w:spacing w:val="-4"/>
          <w:sz w:val="32"/>
          <w:szCs w:val="32"/>
        </w:rPr>
      </w:pPr>
      <w:r>
        <w:rPr>
          <w:rFonts w:ascii="楷体_GB2312" w:hAnsi="仿宋" w:eastAsia="楷体_GB2312"/>
          <w:b/>
          <w:bCs/>
          <w:spacing w:val="-4"/>
          <w:sz w:val="32"/>
          <w:szCs w:val="32"/>
        </w:rPr>
        <w:t>3</w:t>
      </w:r>
      <w:r>
        <w:rPr>
          <w:rFonts w:hint="eastAsia" w:ascii="楷体_GB2312" w:hAnsi="仿宋" w:eastAsia="楷体_GB2312"/>
          <w:b/>
          <w:bCs/>
          <w:spacing w:val="-4"/>
          <w:sz w:val="32"/>
          <w:szCs w:val="32"/>
        </w:rPr>
        <w:t>、项目用途及范围。</w:t>
      </w:r>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12.24</w:t>
      </w:r>
      <w:r>
        <w:rPr>
          <w:rFonts w:hint="eastAsia" w:ascii="楷体_GB2312" w:hAnsi="仿宋" w:eastAsia="楷体_GB2312"/>
          <w:bCs/>
          <w:spacing w:val="-4"/>
          <w:sz w:val="32"/>
          <w:szCs w:val="32"/>
        </w:rPr>
        <w:t>万元，主要为全乡</w:t>
      </w:r>
      <w:r>
        <w:rPr>
          <w:rFonts w:hint="eastAsia" w:ascii="楷体_GB2312" w:hAnsi="仿宋" w:eastAsia="楷体_GB2312"/>
          <w:bCs/>
          <w:spacing w:val="-4"/>
          <w:sz w:val="32"/>
          <w:szCs w:val="32"/>
          <w:lang w:eastAsia="zh-CN"/>
        </w:rPr>
        <w:t>810</w:t>
      </w:r>
      <w:r>
        <w:rPr>
          <w:rFonts w:hint="eastAsia" w:ascii="楷体_GB2312" w:hAnsi="仿宋" w:eastAsia="楷体_GB2312"/>
          <w:bCs/>
          <w:spacing w:val="-4"/>
          <w:sz w:val="32"/>
          <w:szCs w:val="32"/>
        </w:rPr>
        <w:t>户贫困户</w:t>
      </w:r>
      <w:r>
        <w:rPr>
          <w:rFonts w:hint="eastAsia" w:ascii="楷体_GB2312" w:hAnsi="仿宋" w:eastAsia="楷体_GB2312"/>
          <w:bCs/>
          <w:spacing w:val="-4"/>
          <w:sz w:val="32"/>
          <w:szCs w:val="32"/>
          <w:lang w:eastAsia="zh-CN"/>
        </w:rPr>
        <w:t>612000</w:t>
      </w:r>
      <w:r>
        <w:rPr>
          <w:rFonts w:hint="eastAsia" w:ascii="楷体_GB2312" w:hAnsi="仿宋" w:eastAsia="楷体_GB2312"/>
          <w:bCs/>
          <w:spacing w:val="-4"/>
          <w:sz w:val="32"/>
          <w:szCs w:val="32"/>
        </w:rPr>
        <w:t>株春提早拱棚种植蔬菜苗进行补贴，每株补贴</w:t>
      </w:r>
      <w:r>
        <w:rPr>
          <w:rFonts w:ascii="楷体_GB2312" w:hAnsi="仿宋" w:eastAsia="楷体_GB2312"/>
          <w:bCs/>
          <w:spacing w:val="-4"/>
          <w:sz w:val="32"/>
          <w:szCs w:val="32"/>
        </w:rPr>
        <w:t>0.21</w:t>
      </w:r>
      <w:r>
        <w:rPr>
          <w:rFonts w:hint="eastAsia" w:ascii="楷体_GB2312" w:hAnsi="仿宋" w:eastAsia="楷体_GB2312"/>
          <w:bCs/>
          <w:spacing w:val="-4"/>
          <w:sz w:val="32"/>
          <w:szCs w:val="32"/>
        </w:rPr>
        <w:t>元。</w:t>
      </w:r>
    </w:p>
    <w:p>
      <w:pPr>
        <w:adjustRightInd w:val="0"/>
        <w:snapToGrid w:val="0"/>
        <w:spacing w:line="360" w:lineRule="auto"/>
        <w:ind w:firstLine="627" w:firstLineChars="20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二、项目资金使用及管理情况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（一）项目资金安排落实、总投入等情况分析。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该项目资金</w:t>
      </w:r>
      <w:r>
        <w:rPr>
          <w:rFonts w:hint="eastAsia" w:ascii="楷体_GB2312" w:hAnsi="仿宋" w:eastAsia="楷体_GB2312"/>
          <w:bCs/>
          <w:spacing w:val="-4"/>
          <w:sz w:val="32"/>
          <w:szCs w:val="32"/>
          <w:lang w:eastAsia="zh-CN"/>
        </w:rPr>
        <w:t>12.24</w:t>
      </w:r>
      <w:r>
        <w:rPr>
          <w:rFonts w:hint="eastAsia" w:ascii="楷体_GB2312" w:hAnsi="仿宋" w:eastAsia="楷体_GB2312"/>
          <w:bCs/>
          <w:spacing w:val="-4"/>
          <w:sz w:val="32"/>
          <w:szCs w:val="32"/>
        </w:rPr>
        <w:t>万元，由财政拨付，主要为全乡</w:t>
      </w:r>
      <w:r>
        <w:rPr>
          <w:rFonts w:hint="eastAsia" w:ascii="楷体_GB2312" w:hAnsi="仿宋" w:eastAsia="楷体_GB2312"/>
          <w:bCs/>
          <w:spacing w:val="-4"/>
          <w:sz w:val="32"/>
          <w:szCs w:val="32"/>
          <w:lang w:eastAsia="zh-CN"/>
        </w:rPr>
        <w:t>810</w:t>
      </w:r>
      <w:r>
        <w:rPr>
          <w:rFonts w:hint="eastAsia" w:ascii="楷体_GB2312" w:hAnsi="仿宋" w:eastAsia="楷体_GB2312"/>
          <w:bCs/>
          <w:spacing w:val="-4"/>
          <w:sz w:val="32"/>
          <w:szCs w:val="32"/>
        </w:rPr>
        <w:t>户贫困户</w:t>
      </w:r>
      <w:r>
        <w:rPr>
          <w:rFonts w:hint="eastAsia" w:ascii="楷体_GB2312" w:hAnsi="仿宋" w:eastAsia="楷体_GB2312"/>
          <w:bCs/>
          <w:spacing w:val="-4"/>
          <w:sz w:val="32"/>
          <w:szCs w:val="32"/>
          <w:lang w:eastAsia="zh-CN"/>
        </w:rPr>
        <w:t>612000</w:t>
      </w:r>
      <w:r>
        <w:rPr>
          <w:rFonts w:hint="eastAsia" w:ascii="楷体_GB2312" w:hAnsi="仿宋" w:eastAsia="楷体_GB2312"/>
          <w:bCs/>
          <w:spacing w:val="-4"/>
          <w:sz w:val="32"/>
          <w:szCs w:val="32"/>
        </w:rPr>
        <w:t>株春提早拱棚种植蔬菜苗进行补贴，每株补贴</w:t>
      </w:r>
      <w:r>
        <w:rPr>
          <w:rFonts w:ascii="楷体_GB2312" w:hAnsi="仿宋" w:eastAsia="楷体_GB2312"/>
          <w:bCs/>
          <w:spacing w:val="-4"/>
          <w:sz w:val="32"/>
          <w:szCs w:val="32"/>
        </w:rPr>
        <w:t>0.21</w:t>
      </w:r>
      <w:r>
        <w:rPr>
          <w:rFonts w:hint="eastAsia" w:ascii="楷体_GB2312" w:hAnsi="仿宋" w:eastAsia="楷体_GB2312"/>
          <w:bCs/>
          <w:spacing w:val="-4"/>
          <w:sz w:val="32"/>
          <w:szCs w:val="32"/>
        </w:rPr>
        <w:t>元。</w:t>
      </w:r>
    </w:p>
    <w:p>
      <w:pPr>
        <w:adjustRightInd w:val="0"/>
        <w:snapToGrid w:val="0"/>
        <w:spacing w:line="360" w:lineRule="auto"/>
        <w:ind w:firstLine="627" w:firstLineChars="20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（二）项目资金实际使用情况分析。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本项目实际支付资金</w:t>
      </w:r>
      <w:r>
        <w:rPr>
          <w:rFonts w:hint="eastAsia" w:ascii="楷体_GB2312" w:hAnsi="仿宋" w:eastAsia="楷体_GB2312"/>
          <w:bCs/>
          <w:spacing w:val="-4"/>
          <w:sz w:val="32"/>
          <w:szCs w:val="32"/>
          <w:lang w:eastAsia="zh-CN"/>
        </w:rPr>
        <w:t>12.24</w:t>
      </w:r>
      <w:r>
        <w:rPr>
          <w:rFonts w:hint="eastAsia" w:ascii="楷体_GB2312" w:hAnsi="仿宋" w:eastAsia="楷体_GB2312"/>
          <w:bCs/>
          <w:spacing w:val="-4"/>
          <w:sz w:val="32"/>
          <w:szCs w:val="32"/>
        </w:rPr>
        <w:t>万元，预算执行率</w:t>
      </w:r>
      <w:r>
        <w:rPr>
          <w:rFonts w:ascii="楷体_GB2312" w:hAnsi="仿宋" w:eastAsia="楷体_GB2312"/>
          <w:bCs/>
          <w:spacing w:val="-4"/>
          <w:sz w:val="32"/>
          <w:szCs w:val="32"/>
        </w:rPr>
        <w:t>100%</w:t>
      </w:r>
      <w:r>
        <w:rPr>
          <w:rFonts w:hint="eastAsia" w:ascii="楷体_GB2312" w:hAnsi="仿宋" w:eastAsia="楷体_GB2312"/>
          <w:bCs/>
          <w:spacing w:val="-4"/>
          <w:sz w:val="32"/>
          <w:szCs w:val="32"/>
        </w:rPr>
        <w:t>，主要为全乡</w:t>
      </w:r>
      <w:r>
        <w:rPr>
          <w:rFonts w:hint="eastAsia" w:ascii="楷体_GB2312" w:hAnsi="仿宋" w:eastAsia="楷体_GB2312"/>
          <w:bCs/>
          <w:spacing w:val="-4"/>
          <w:sz w:val="32"/>
          <w:szCs w:val="32"/>
          <w:lang w:eastAsia="zh-CN"/>
        </w:rPr>
        <w:t>810</w:t>
      </w:r>
      <w:r>
        <w:rPr>
          <w:rFonts w:hint="eastAsia" w:ascii="楷体_GB2312" w:hAnsi="仿宋" w:eastAsia="楷体_GB2312"/>
          <w:bCs/>
          <w:spacing w:val="-4"/>
          <w:sz w:val="32"/>
          <w:szCs w:val="32"/>
        </w:rPr>
        <w:t>户贫困户</w:t>
      </w:r>
      <w:r>
        <w:rPr>
          <w:rFonts w:hint="eastAsia" w:ascii="楷体_GB2312" w:hAnsi="仿宋" w:eastAsia="楷体_GB2312"/>
          <w:bCs/>
          <w:spacing w:val="-4"/>
          <w:sz w:val="32"/>
          <w:szCs w:val="32"/>
          <w:lang w:eastAsia="zh-CN"/>
        </w:rPr>
        <w:t>612000</w:t>
      </w:r>
      <w:r>
        <w:rPr>
          <w:rFonts w:hint="eastAsia" w:ascii="楷体_GB2312" w:hAnsi="仿宋" w:eastAsia="楷体_GB2312"/>
          <w:bCs/>
          <w:spacing w:val="-4"/>
          <w:sz w:val="32"/>
          <w:szCs w:val="32"/>
        </w:rPr>
        <w:t>株春提早拱棚种植蔬菜苗进行补贴，每株补贴</w:t>
      </w:r>
      <w:r>
        <w:rPr>
          <w:rFonts w:ascii="楷体_GB2312" w:hAnsi="仿宋" w:eastAsia="楷体_GB2312"/>
          <w:bCs/>
          <w:spacing w:val="-4"/>
          <w:sz w:val="32"/>
          <w:szCs w:val="32"/>
        </w:rPr>
        <w:t>0.21</w:t>
      </w:r>
      <w:r>
        <w:rPr>
          <w:rFonts w:hint="eastAsia" w:ascii="楷体_GB2312" w:hAnsi="仿宋" w:eastAsia="楷体_GB2312"/>
          <w:bCs/>
          <w:spacing w:val="-4"/>
          <w:sz w:val="32"/>
          <w:szCs w:val="32"/>
        </w:rPr>
        <w:t>元。</w:t>
      </w:r>
    </w:p>
    <w:p>
      <w:pPr>
        <w:adjustRightInd w:val="0"/>
        <w:snapToGrid w:val="0"/>
        <w:spacing w:line="360" w:lineRule="auto"/>
        <w:ind w:firstLine="627" w:firstLineChars="20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（三）项目资金管理情况分析。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三、项目组织实施情况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（一）项目组织情况分析。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一是该项目由</w:t>
      </w:r>
      <w:r>
        <w:rPr>
          <w:rFonts w:hint="eastAsia" w:ascii="楷体_GB2312" w:hAnsi="仿宋" w:eastAsia="楷体_GB2312"/>
          <w:bCs/>
          <w:spacing w:val="-4"/>
          <w:sz w:val="32"/>
          <w:szCs w:val="32"/>
          <w:lang w:eastAsia="zh-CN"/>
        </w:rPr>
        <w:t>英也尔乡</w:t>
      </w:r>
      <w:r>
        <w:rPr>
          <w:rFonts w:hint="eastAsia" w:ascii="楷体_GB2312" w:hAnsi="仿宋" w:eastAsia="楷体_GB2312"/>
          <w:bCs/>
          <w:spacing w:val="-4"/>
          <w:sz w:val="32"/>
          <w:szCs w:val="32"/>
        </w:rPr>
        <w:t>人民政府组织实施。实施过程均按照本单位制定的管理制度执行；</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二是本项目不存在调整情况。</w:t>
      </w:r>
    </w:p>
    <w:p>
      <w:pPr>
        <w:adjustRightInd w:val="0"/>
        <w:snapToGrid w:val="0"/>
        <w:spacing w:line="360" w:lineRule="auto"/>
        <w:ind w:firstLine="627" w:firstLineChars="200"/>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（二）项目管理情况分析。</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360" w:lineRule="auto"/>
        <w:ind w:firstLine="627" w:firstLineChars="200"/>
        <w:outlineLvl w:val="0"/>
        <w:rPr>
          <w:rStyle w:val="20"/>
          <w:rFonts w:ascii="楷体_GB2312" w:hAnsi="黑体" w:eastAsia="楷体_GB2312"/>
        </w:rPr>
      </w:pPr>
      <w:r>
        <w:rPr>
          <w:rStyle w:val="20"/>
          <w:rFonts w:hint="eastAsia" w:ascii="楷体_GB2312" w:hAnsi="黑体" w:eastAsia="楷体_GB2312"/>
          <w:spacing w:val="-4"/>
          <w:sz w:val="32"/>
          <w:szCs w:val="32"/>
        </w:rPr>
        <w:t>四、项目绩效情况</w:t>
      </w:r>
    </w:p>
    <w:p>
      <w:pPr>
        <w:adjustRightInd w:val="0"/>
        <w:snapToGrid w:val="0"/>
        <w:spacing w:line="360" w:lineRule="auto"/>
        <w:ind w:firstLine="627" w:firstLineChars="200"/>
        <w:outlineLvl w:val="0"/>
        <w:rPr>
          <w:rStyle w:val="20"/>
          <w:rFonts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本项目共设置一级指标</w:t>
      </w:r>
      <w:r>
        <w:rPr>
          <w:rFonts w:ascii="楷体_GB2312" w:hAnsi="仿宋" w:eastAsia="楷体_GB2312"/>
          <w:spacing w:val="-4"/>
          <w:sz w:val="32"/>
          <w:szCs w:val="32"/>
        </w:rPr>
        <w:t>3</w:t>
      </w:r>
      <w:r>
        <w:rPr>
          <w:rFonts w:hint="eastAsia" w:ascii="楷体_GB2312" w:hAnsi="仿宋" w:eastAsia="楷体_GB2312"/>
          <w:spacing w:val="-4"/>
          <w:sz w:val="32"/>
          <w:szCs w:val="32"/>
        </w:rPr>
        <w:t>个，已完成指标</w:t>
      </w:r>
      <w:r>
        <w:rPr>
          <w:rFonts w:ascii="楷体_GB2312" w:hAnsi="仿宋" w:eastAsia="楷体_GB2312"/>
          <w:spacing w:val="-4"/>
          <w:sz w:val="32"/>
          <w:szCs w:val="32"/>
        </w:rPr>
        <w:t>3</w:t>
      </w:r>
      <w:r>
        <w:rPr>
          <w:rFonts w:hint="eastAsia" w:ascii="楷体_GB2312" w:hAnsi="仿宋" w:eastAsia="楷体_GB2312"/>
          <w:spacing w:val="-4"/>
          <w:sz w:val="32"/>
          <w:szCs w:val="32"/>
        </w:rPr>
        <w:t>个，指标完成率为</w:t>
      </w:r>
      <w:r>
        <w:rPr>
          <w:rFonts w:ascii="楷体_GB2312" w:hAnsi="仿宋" w:eastAsia="楷体_GB2312"/>
          <w:spacing w:val="-4"/>
          <w:sz w:val="32"/>
          <w:szCs w:val="32"/>
        </w:rPr>
        <w:t>100%</w:t>
      </w:r>
      <w:r>
        <w:rPr>
          <w:rFonts w:hint="eastAsia" w:ascii="楷体_GB2312" w:hAnsi="仿宋" w:eastAsia="楷体_GB2312"/>
          <w:spacing w:val="-4"/>
          <w:sz w:val="32"/>
          <w:szCs w:val="32"/>
        </w:rPr>
        <w:t>。</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spacing w:val="-4"/>
          <w:sz w:val="32"/>
          <w:szCs w:val="32"/>
        </w:rPr>
        <w:t>经济性：</w:t>
      </w:r>
      <w:r>
        <w:rPr>
          <w:rFonts w:hint="eastAsia" w:ascii="楷体_GB2312" w:hAnsi="仿宋" w:eastAsia="楷体_GB2312"/>
          <w:bCs/>
          <w:spacing w:val="-4"/>
          <w:sz w:val="32"/>
          <w:szCs w:val="32"/>
        </w:rPr>
        <w:t>该项目的及时有效实施，切实解决贫困户在春提早拱棚种植中遇到的困难，乡集中育苗免费发给贫困户、同时发放蔬菜苗补贴，降低了贫困户的投入成本。</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效率性：该项目</w:t>
      </w:r>
      <w:r>
        <w:rPr>
          <w:rFonts w:ascii="楷体_GB2312" w:hAnsi="仿宋" w:eastAsia="楷体_GB2312"/>
          <w:spacing w:val="-4"/>
          <w:sz w:val="32"/>
          <w:szCs w:val="32"/>
        </w:rPr>
        <w:t>2018</w:t>
      </w:r>
      <w:r>
        <w:rPr>
          <w:rFonts w:hint="eastAsia" w:ascii="楷体_GB2312" w:hAnsi="仿宋" w:eastAsia="楷体_GB2312"/>
          <w:spacing w:val="-4"/>
          <w:sz w:val="32"/>
          <w:szCs w:val="32"/>
        </w:rPr>
        <w:t>年全部实施完毕</w:t>
      </w:r>
    </w:p>
    <w:p>
      <w:pPr>
        <w:adjustRightInd w:val="0"/>
        <w:snapToGrid w:val="0"/>
        <w:spacing w:line="360" w:lineRule="auto"/>
        <w:ind w:firstLine="624" w:firstLineChars="200"/>
        <w:rPr>
          <w:rFonts w:ascii="楷体_GB2312" w:hAnsi="仿宋" w:eastAsia="楷体_GB2312"/>
          <w:bCs/>
          <w:spacing w:val="-4"/>
          <w:sz w:val="32"/>
          <w:szCs w:val="32"/>
        </w:rPr>
      </w:pPr>
      <w:r>
        <w:rPr>
          <w:rFonts w:hint="eastAsia" w:ascii="楷体_GB2312" w:hAnsi="仿宋" w:eastAsia="楷体_GB2312"/>
          <w:spacing w:val="-4"/>
          <w:sz w:val="32"/>
          <w:szCs w:val="32"/>
        </w:rPr>
        <w:t>效益性：</w:t>
      </w:r>
      <w:r>
        <w:rPr>
          <w:rFonts w:hint="eastAsia" w:ascii="楷体_GB2312" w:hAnsi="仿宋" w:eastAsia="楷体_GB2312"/>
          <w:bCs/>
          <w:spacing w:val="-4"/>
          <w:sz w:val="32"/>
          <w:szCs w:val="32"/>
        </w:rPr>
        <w:t>该项目的及时有效实施，切实解决贫困户在春提早拱棚种植中遇到的困难，乡集中育苗免费发给贫困户、同时发放蔬菜苗补贴，降低了贫困户的投入成本。</w:t>
      </w:r>
    </w:p>
    <w:p>
      <w:pPr>
        <w:adjustRightInd w:val="0"/>
        <w:snapToGrid w:val="0"/>
        <w:spacing w:line="360" w:lineRule="auto"/>
        <w:ind w:firstLine="627" w:firstLineChars="200"/>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adjustRightInd w:val="0"/>
        <w:snapToGrid w:val="0"/>
        <w:spacing w:line="360" w:lineRule="auto"/>
        <w:ind w:firstLine="624" w:firstLineChars="200"/>
        <w:rPr>
          <w:rFonts w:ascii="楷体_GB2312" w:hAnsi="仿宋" w:eastAsia="楷体_GB2312"/>
          <w:spacing w:val="-4"/>
          <w:sz w:val="32"/>
          <w:szCs w:val="32"/>
        </w:rPr>
      </w:pPr>
      <w:r>
        <w:rPr>
          <w:rFonts w:ascii="楷体_GB2312" w:hAnsi="仿宋" w:eastAsia="楷体_GB2312"/>
          <w:spacing w:val="-4"/>
          <w:sz w:val="32"/>
          <w:szCs w:val="32"/>
        </w:rPr>
        <w:t>2018</w:t>
      </w:r>
      <w:r>
        <w:rPr>
          <w:rFonts w:hint="eastAsia" w:ascii="楷体_GB2312" w:hAnsi="仿宋" w:eastAsia="楷体_GB2312"/>
          <w:spacing w:val="-4"/>
          <w:sz w:val="32"/>
          <w:szCs w:val="32"/>
        </w:rPr>
        <w:t>年本项目绩效目标全部达成，不存在未完成原因分析。</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五、其他需要说明的问题</w:t>
      </w:r>
    </w:p>
    <w:p>
      <w:pPr>
        <w:adjustRightInd w:val="0"/>
        <w:snapToGrid w:val="0"/>
        <w:spacing w:line="360" w:lineRule="auto"/>
        <w:ind w:firstLine="627" w:firstLineChars="200"/>
        <w:outlineLvl w:val="0"/>
        <w:rPr>
          <w:rFonts w:ascii="楷体_GB2312" w:hAnsi="楷体" w:eastAsia="楷体_GB2312"/>
          <w:spacing w:val="-4"/>
          <w:sz w:val="32"/>
          <w:szCs w:val="32"/>
        </w:rPr>
      </w:pPr>
      <w:r>
        <w:rPr>
          <w:rFonts w:hint="eastAsia" w:ascii="楷体_GB2312" w:hAnsi="楷体" w:eastAsia="楷体_GB2312"/>
          <w:b/>
          <w:spacing w:val="-4"/>
          <w:sz w:val="32"/>
          <w:szCs w:val="32"/>
        </w:rPr>
        <w:t>（一）后续工作计划。</w:t>
      </w:r>
      <w:r>
        <w:rPr>
          <w:rFonts w:hint="eastAsia" w:ascii="楷体_GB2312" w:hAnsi="楷体" w:eastAsia="楷体_GB2312"/>
          <w:spacing w:val="-4"/>
          <w:sz w:val="32"/>
          <w:szCs w:val="32"/>
        </w:rPr>
        <w:t>我们将加强对农户种植的拱棚春提早蔬菜的管理，适时召开现场推进会，加强水肥投入及病虫害防治，做好蔬菜的销售工作，确保农民增产增收，项目发挥作用。</w:t>
      </w:r>
    </w:p>
    <w:p>
      <w:pPr>
        <w:adjustRightInd w:val="0"/>
        <w:snapToGrid w:val="0"/>
        <w:spacing w:line="360" w:lineRule="auto"/>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1</w:t>
      </w:r>
      <w:r>
        <w:rPr>
          <w:rFonts w:hint="eastAsia" w:ascii="楷体_GB2312" w:hAnsi="仿宋" w:eastAsia="楷体_GB2312"/>
          <w:b/>
          <w:spacing w:val="-4"/>
          <w:sz w:val="32"/>
          <w:szCs w:val="32"/>
        </w:rPr>
        <w:t>、主要经验及做法。</w:t>
      </w:r>
      <w:r>
        <w:rPr>
          <w:rFonts w:hint="eastAsia" w:ascii="楷体_GB2312" w:hAnsi="仿宋" w:eastAsia="楷体_GB2312"/>
          <w:spacing w:val="-4"/>
          <w:sz w:val="32"/>
          <w:szCs w:val="32"/>
        </w:rPr>
        <w:t>为保证财务管理工作规范有序进行，</w:t>
      </w:r>
      <w:r>
        <w:rPr>
          <w:rFonts w:ascii="楷体_GB2312" w:hAnsi="仿宋" w:eastAsia="楷体_GB2312"/>
          <w:spacing w:val="-4"/>
          <w:sz w:val="32"/>
          <w:szCs w:val="32"/>
        </w:rPr>
        <w:t>2018</w:t>
      </w:r>
      <w:r>
        <w:rPr>
          <w:rFonts w:hint="eastAsia" w:ascii="楷体_GB2312" w:hAnsi="仿宋" w:eastAsia="楷体_GB2312"/>
          <w:spacing w:val="-4"/>
          <w:sz w:val="32"/>
          <w:szCs w:val="32"/>
        </w:rPr>
        <w:t>年我们按照英吉沙县财政局要求修改完善了相关财务管理的制度、规定，及时调整充实乡财经工作领导小组，不断加强内部控制和监督。对各项资金的管理、经费收支审批等均作了明确规定，正确组织资金的筹集、调度和使用。对所有大额支出专题报告需经会议研究通过。</w:t>
      </w:r>
      <w:r>
        <w:rPr>
          <w:rFonts w:ascii="仿宋" w:hAnsi="仿宋" w:eastAsia="楷体_GB2312"/>
          <w:spacing w:val="-4"/>
          <w:sz w:val="32"/>
          <w:szCs w:val="32"/>
        </w:rPr>
        <w:t> </w:t>
      </w:r>
      <w:r>
        <w:rPr>
          <w:rFonts w:hint="eastAsia" w:ascii="楷体_GB2312" w:hAnsi="仿宋" w:eastAsia="楷体_GB2312"/>
          <w:spacing w:val="-4"/>
          <w:sz w:val="32"/>
          <w:szCs w:val="32"/>
        </w:rPr>
        <w:t>强化制度执行。切实做好厉行节约工作，全面落实各项管理制度要求，努力降低行政成本。对各项指出实行限额把关、一支笔审批制度，做到一事一审批、一事一结账，各项费用严格履行审批程序。</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2</w:t>
      </w:r>
      <w:r>
        <w:rPr>
          <w:rFonts w:hint="eastAsia" w:ascii="楷体_GB2312" w:hAnsi="仿宋" w:eastAsia="楷体_GB2312"/>
          <w:b/>
          <w:spacing w:val="-4"/>
          <w:sz w:val="32"/>
          <w:szCs w:val="32"/>
        </w:rPr>
        <w:t>、存在的问题。</w:t>
      </w:r>
      <w:r>
        <w:rPr>
          <w:rFonts w:hint="eastAsia" w:ascii="楷体_GB2312" w:hAnsi="仿宋" w:eastAsia="楷体_GB2312"/>
          <w:spacing w:val="-4"/>
          <w:sz w:val="32"/>
          <w:szCs w:val="32"/>
        </w:rPr>
        <w:t>无</w:t>
      </w:r>
    </w:p>
    <w:p>
      <w:pPr>
        <w:adjustRightInd w:val="0"/>
        <w:snapToGrid w:val="0"/>
        <w:spacing w:line="360" w:lineRule="auto"/>
        <w:ind w:firstLine="627" w:firstLineChars="200"/>
        <w:rPr>
          <w:rFonts w:ascii="楷体_GB2312" w:hAnsi="仿宋" w:eastAsia="楷体_GB2312"/>
          <w:spacing w:val="-4"/>
          <w:sz w:val="32"/>
          <w:szCs w:val="32"/>
        </w:rPr>
      </w:pPr>
      <w:r>
        <w:rPr>
          <w:rFonts w:ascii="楷体_GB2312" w:hAnsi="仿宋" w:eastAsia="楷体_GB2312"/>
          <w:b/>
          <w:spacing w:val="-4"/>
          <w:sz w:val="32"/>
          <w:szCs w:val="32"/>
        </w:rPr>
        <w:t>3</w:t>
      </w:r>
      <w:r>
        <w:rPr>
          <w:rFonts w:hint="eastAsia" w:ascii="楷体_GB2312" w:hAnsi="仿宋" w:eastAsia="楷体_GB2312"/>
          <w:b/>
          <w:spacing w:val="-4"/>
          <w:sz w:val="32"/>
          <w:szCs w:val="32"/>
        </w:rPr>
        <w:t>、建议。</w:t>
      </w:r>
      <w:r>
        <w:rPr>
          <w:rFonts w:ascii="楷体_GB2312" w:hAnsi="仿宋" w:eastAsia="楷体_GB2312"/>
          <w:spacing w:val="-4"/>
          <w:sz w:val="32"/>
          <w:szCs w:val="32"/>
        </w:rPr>
        <w:t xml:space="preserve"> </w:t>
      </w:r>
      <w:r>
        <w:rPr>
          <w:rFonts w:hint="eastAsia" w:ascii="楷体_GB2312" w:hAnsi="仿宋" w:eastAsia="楷体_GB2312"/>
          <w:spacing w:val="-4"/>
          <w:sz w:val="32"/>
          <w:szCs w:val="32"/>
        </w:rPr>
        <w:t>无</w:t>
      </w:r>
    </w:p>
    <w:p>
      <w:pPr>
        <w:adjustRightInd w:val="0"/>
        <w:snapToGrid w:val="0"/>
        <w:spacing w:line="360" w:lineRule="auto"/>
        <w:ind w:left="420" w:leftChars="20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rPr>
        <w:t>无其他说明内容。</w:t>
      </w:r>
    </w:p>
    <w:p>
      <w:pPr>
        <w:adjustRightInd w:val="0"/>
        <w:snapToGrid w:val="0"/>
        <w:spacing w:line="360" w:lineRule="auto"/>
        <w:ind w:firstLine="627" w:firstLineChars="200"/>
        <w:outlineLvl w:val="0"/>
        <w:rPr>
          <w:rFonts w:ascii="楷体_GB2312" w:hAnsi="黑体" w:eastAsia="楷体_GB2312"/>
          <w:bCs/>
          <w:spacing w:val="-4"/>
          <w:sz w:val="32"/>
          <w:szCs w:val="32"/>
        </w:rPr>
      </w:pPr>
      <w:r>
        <w:rPr>
          <w:rStyle w:val="20"/>
          <w:rFonts w:hint="eastAsia" w:ascii="楷体_GB2312" w:hAnsi="黑体" w:eastAsia="楷体_GB2312"/>
          <w:spacing w:val="-4"/>
          <w:sz w:val="32"/>
          <w:szCs w:val="32"/>
        </w:rPr>
        <w:t>六、项目评价工作情况</w:t>
      </w:r>
    </w:p>
    <w:p>
      <w:pPr>
        <w:adjustRightInd w:val="0"/>
        <w:snapToGrid w:val="0"/>
        <w:spacing w:line="360" w:lineRule="auto"/>
        <w:ind w:firstLine="624" w:firstLineChars="200"/>
        <w:rPr>
          <w:rFonts w:ascii="楷体_GB2312" w:hAnsi="仿宋" w:eastAsia="楷体_GB2312"/>
          <w:spacing w:val="-4"/>
          <w:sz w:val="32"/>
          <w:szCs w:val="32"/>
        </w:rPr>
      </w:pPr>
      <w:r>
        <w:rPr>
          <w:rFonts w:hint="eastAsia" w:ascii="楷体_GB2312" w:hAnsi="仿宋" w:eastAsia="楷体_GB2312"/>
          <w:spacing w:val="-4"/>
          <w:sz w:val="32"/>
          <w:szCs w:val="32"/>
          <w:lang w:eastAsia="zh-CN"/>
        </w:rPr>
        <w:t>英也尔乡</w:t>
      </w:r>
      <w:r>
        <w:rPr>
          <w:rFonts w:hint="eastAsia" w:ascii="楷体_GB2312" w:hAnsi="仿宋" w:eastAsia="楷体_GB2312"/>
          <w:spacing w:val="-4"/>
          <w:sz w:val="32"/>
          <w:szCs w:val="32"/>
        </w:rPr>
        <w:t>切实加强财务管理，强化财务监督，增强法纪观念，遵守规章制度。为保证财务管理工作规范有序进行，</w:t>
      </w:r>
      <w:r>
        <w:rPr>
          <w:rFonts w:ascii="楷体_GB2312" w:hAnsi="仿宋" w:eastAsia="楷体_GB2312"/>
          <w:spacing w:val="-4"/>
          <w:sz w:val="32"/>
          <w:szCs w:val="32"/>
        </w:rPr>
        <w:t>2018</w:t>
      </w:r>
      <w:r>
        <w:rPr>
          <w:rFonts w:hint="eastAsia" w:ascii="楷体_GB2312" w:hAnsi="仿宋" w:eastAsia="楷体_GB2312"/>
          <w:spacing w:val="-4"/>
          <w:sz w:val="32"/>
          <w:szCs w:val="32"/>
        </w:rPr>
        <w:t>年我们修改完善了相关财务管理的制度、规定，及时调整充实乡财经工作领导小组，不断加强内部控制和监督。对各项资金的管理、经费收支审批等均作了明确规定，正确组织资金的筹集、调度和使用。各项经费支出实行限额把关、一支笔审批制度。切实做好厉行节约工作，全面落实各项管理制度要求，努力降低行政成本。</w:t>
      </w:r>
    </w:p>
    <w:p>
      <w:pPr>
        <w:adjustRightInd w:val="0"/>
        <w:snapToGrid w:val="0"/>
        <w:spacing w:line="360" w:lineRule="auto"/>
        <w:ind w:firstLine="627" w:firstLineChars="200"/>
        <w:outlineLvl w:val="0"/>
        <w:rPr>
          <w:rStyle w:val="20"/>
          <w:rFonts w:ascii="楷体_GB2312" w:hAnsi="黑体" w:eastAsia="楷体_GB2312"/>
          <w:spacing w:val="-4"/>
          <w:sz w:val="32"/>
          <w:szCs w:val="32"/>
        </w:rPr>
      </w:pPr>
      <w:r>
        <w:rPr>
          <w:rStyle w:val="20"/>
          <w:rFonts w:hint="eastAsia" w:ascii="楷体_GB2312" w:hAnsi="黑体" w:eastAsia="楷体_GB2312"/>
          <w:spacing w:val="-4"/>
          <w:sz w:val="32"/>
          <w:szCs w:val="32"/>
        </w:rPr>
        <w:t>七、附表</w:t>
      </w:r>
    </w:p>
    <w:p>
      <w:pPr>
        <w:adjustRightInd w:val="0"/>
        <w:snapToGrid w:val="0"/>
        <w:spacing w:line="360" w:lineRule="auto"/>
        <w:ind w:firstLine="624" w:firstLineChars="200"/>
        <w:rPr>
          <w:rFonts w:hint="eastAsia" w:ascii="楷体_GB2312" w:hAnsi="仿宋" w:eastAsia="楷体_GB2312"/>
          <w:spacing w:val="-4"/>
          <w:sz w:val="32"/>
          <w:szCs w:val="32"/>
        </w:rPr>
      </w:pPr>
      <w:r>
        <w:rPr>
          <w:rFonts w:hint="eastAsia" w:ascii="楷体_GB2312" w:hAnsi="仿宋" w:eastAsia="楷体_GB2312"/>
          <w:spacing w:val="-4"/>
          <w:sz w:val="32"/>
          <w:szCs w:val="32"/>
        </w:rPr>
        <w:t>《项目支出绩效目标自评表》</w:t>
      </w:r>
    </w:p>
    <w:p>
      <w:pPr>
        <w:adjustRightInd w:val="0"/>
        <w:snapToGrid w:val="0"/>
        <w:spacing w:line="360" w:lineRule="auto"/>
        <w:ind w:firstLine="624" w:firstLineChars="200"/>
        <w:rPr>
          <w:rFonts w:hint="eastAsia" w:ascii="楷体_GB2312" w:hAnsi="仿宋" w:eastAsia="楷体_GB2312"/>
          <w:spacing w:val="-4"/>
          <w:sz w:val="32"/>
          <w:szCs w:val="32"/>
          <w:lang w:eastAsia="zh-CN"/>
        </w:rPr>
      </w:pPr>
    </w:p>
    <w:p>
      <w:pPr>
        <w:adjustRightInd w:val="0"/>
        <w:snapToGrid w:val="0"/>
        <w:spacing w:line="360" w:lineRule="auto"/>
        <w:ind w:firstLine="624" w:firstLineChars="200"/>
        <w:rPr>
          <w:rFonts w:hint="eastAsia" w:ascii="楷体_GB2312" w:hAnsi="仿宋" w:eastAsia="楷体_GB2312"/>
          <w:spacing w:val="-4"/>
          <w:sz w:val="32"/>
          <w:szCs w:val="32"/>
          <w:lang w:eastAsia="zh-CN"/>
        </w:rPr>
      </w:pPr>
      <w:bookmarkStart w:id="1" w:name="_GoBack"/>
      <w:bookmarkEnd w:id="1"/>
    </w:p>
    <w:p>
      <w:pPr>
        <w:adjustRightInd w:val="0"/>
        <w:snapToGrid w:val="0"/>
        <w:spacing w:line="360" w:lineRule="auto"/>
        <w:ind w:firstLine="624" w:firstLineChars="200"/>
        <w:rPr>
          <w:rFonts w:hint="eastAsia" w:ascii="楷体_GB2312" w:hAnsi="仿宋" w:eastAsia="楷体_GB2312"/>
          <w:spacing w:val="-4"/>
          <w:sz w:val="32"/>
          <w:szCs w:val="32"/>
          <w:lang w:eastAsia="zh-CN"/>
        </w:rPr>
      </w:pPr>
    </w:p>
    <w:p>
      <w:pPr>
        <w:adjustRightInd w:val="0"/>
        <w:snapToGrid w:val="0"/>
        <w:spacing w:line="360" w:lineRule="auto"/>
        <w:ind w:firstLine="624" w:firstLineChars="200"/>
        <w:jc w:val="right"/>
        <w:rPr>
          <w:rFonts w:hint="eastAsia" w:ascii="楷体_GB2312" w:hAnsi="仿宋" w:eastAsia="楷体_GB2312"/>
          <w:spacing w:val="-4"/>
          <w:sz w:val="32"/>
          <w:szCs w:val="32"/>
          <w:lang w:eastAsia="zh-CN"/>
        </w:rPr>
      </w:pPr>
      <w:r>
        <w:rPr>
          <w:rFonts w:hint="eastAsia" w:ascii="楷体_GB2312" w:hAnsi="仿宋" w:eastAsia="楷体_GB2312"/>
          <w:spacing w:val="-4"/>
          <w:sz w:val="32"/>
          <w:szCs w:val="32"/>
          <w:lang w:eastAsia="zh-CN"/>
        </w:rPr>
        <w:t>英吉沙县英也尔乡人民政府</w:t>
      </w:r>
    </w:p>
    <w:p>
      <w:pPr>
        <w:adjustRightInd w:val="0"/>
        <w:snapToGrid w:val="0"/>
        <w:spacing w:line="360" w:lineRule="auto"/>
        <w:ind w:firstLine="624" w:firstLineChars="200"/>
        <w:jc w:val="center"/>
        <w:rPr>
          <w:rFonts w:hint="default" w:ascii="楷体_GB2312" w:hAnsi="仿宋" w:eastAsia="楷体_GB2312"/>
          <w:spacing w:val="-4"/>
          <w:sz w:val="32"/>
          <w:szCs w:val="32"/>
          <w:lang w:val="en-US" w:eastAsia="zh-CN"/>
        </w:rPr>
      </w:pPr>
      <w:r>
        <w:rPr>
          <w:rFonts w:hint="eastAsia" w:ascii="楷体_GB2312" w:hAnsi="仿宋" w:eastAsia="楷体_GB2312"/>
          <w:spacing w:val="-4"/>
          <w:sz w:val="32"/>
          <w:szCs w:val="32"/>
          <w:lang w:val="en-US" w:eastAsia="zh-CN"/>
        </w:rPr>
        <w:t xml:space="preserve">                       2018年12月20日 </w:t>
      </w:r>
    </w:p>
    <w:sectPr>
      <w:headerReference r:id="rId3" w:type="default"/>
      <w:footerReference r:id="rId4" w:type="default"/>
      <w:footerReference r:id="rId5"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Pr>
      <w:t>6</w:t>
    </w:r>
    <w:r>
      <w:rPr>
        <w:rStyle w:val="21"/>
      </w:rPr>
      <w:fldChar w:fldCharType="end"/>
    </w:r>
  </w:p>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373D6"/>
    <w:rsid w:val="0004796C"/>
    <w:rsid w:val="00083EEE"/>
    <w:rsid w:val="00093A1E"/>
    <w:rsid w:val="0012006C"/>
    <w:rsid w:val="0012208E"/>
    <w:rsid w:val="00135256"/>
    <w:rsid w:val="00137CB3"/>
    <w:rsid w:val="0014161B"/>
    <w:rsid w:val="0016412C"/>
    <w:rsid w:val="001A4E1F"/>
    <w:rsid w:val="001A57B9"/>
    <w:rsid w:val="001C3847"/>
    <w:rsid w:val="001D0FBA"/>
    <w:rsid w:val="001F3031"/>
    <w:rsid w:val="001F56A4"/>
    <w:rsid w:val="00210A26"/>
    <w:rsid w:val="00212859"/>
    <w:rsid w:val="00220EB0"/>
    <w:rsid w:val="00223C9E"/>
    <w:rsid w:val="00257C8A"/>
    <w:rsid w:val="00264B9F"/>
    <w:rsid w:val="002A2532"/>
    <w:rsid w:val="002A25A2"/>
    <w:rsid w:val="002A2D76"/>
    <w:rsid w:val="002C7C64"/>
    <w:rsid w:val="002F7D36"/>
    <w:rsid w:val="0030028A"/>
    <w:rsid w:val="00365250"/>
    <w:rsid w:val="0036624C"/>
    <w:rsid w:val="00385849"/>
    <w:rsid w:val="003978FE"/>
    <w:rsid w:val="003B015C"/>
    <w:rsid w:val="00420DF1"/>
    <w:rsid w:val="004222EE"/>
    <w:rsid w:val="00462747"/>
    <w:rsid w:val="004646D4"/>
    <w:rsid w:val="004C1823"/>
    <w:rsid w:val="0050167F"/>
    <w:rsid w:val="00514506"/>
    <w:rsid w:val="005162F1"/>
    <w:rsid w:val="00516E80"/>
    <w:rsid w:val="005269C7"/>
    <w:rsid w:val="00534021"/>
    <w:rsid w:val="00534558"/>
    <w:rsid w:val="00535153"/>
    <w:rsid w:val="00546602"/>
    <w:rsid w:val="0057141E"/>
    <w:rsid w:val="00575CFE"/>
    <w:rsid w:val="00583AFC"/>
    <w:rsid w:val="00592D09"/>
    <w:rsid w:val="006020B7"/>
    <w:rsid w:val="006122E6"/>
    <w:rsid w:val="00625FCE"/>
    <w:rsid w:val="00652607"/>
    <w:rsid w:val="00675D58"/>
    <w:rsid w:val="006F2E6D"/>
    <w:rsid w:val="0070188C"/>
    <w:rsid w:val="0070406B"/>
    <w:rsid w:val="00716C76"/>
    <w:rsid w:val="007218B8"/>
    <w:rsid w:val="00755C6A"/>
    <w:rsid w:val="00785FDE"/>
    <w:rsid w:val="0079002B"/>
    <w:rsid w:val="007A0351"/>
    <w:rsid w:val="007A14BC"/>
    <w:rsid w:val="007A7564"/>
    <w:rsid w:val="007B2DF0"/>
    <w:rsid w:val="007B7B70"/>
    <w:rsid w:val="007C1025"/>
    <w:rsid w:val="007E6845"/>
    <w:rsid w:val="007F5F8A"/>
    <w:rsid w:val="00823514"/>
    <w:rsid w:val="00826CA1"/>
    <w:rsid w:val="008279CA"/>
    <w:rsid w:val="00835B7F"/>
    <w:rsid w:val="00855E3A"/>
    <w:rsid w:val="00897D37"/>
    <w:rsid w:val="008B7E88"/>
    <w:rsid w:val="008D7967"/>
    <w:rsid w:val="00921085"/>
    <w:rsid w:val="00922CB9"/>
    <w:rsid w:val="009350F7"/>
    <w:rsid w:val="00961D24"/>
    <w:rsid w:val="00982254"/>
    <w:rsid w:val="00997498"/>
    <w:rsid w:val="009A43B2"/>
    <w:rsid w:val="009B526F"/>
    <w:rsid w:val="009C1AFD"/>
    <w:rsid w:val="009C7329"/>
    <w:rsid w:val="00A109D3"/>
    <w:rsid w:val="00A26421"/>
    <w:rsid w:val="00A4293B"/>
    <w:rsid w:val="00A83BD5"/>
    <w:rsid w:val="00A977DF"/>
    <w:rsid w:val="00AC1C1C"/>
    <w:rsid w:val="00AE1AB4"/>
    <w:rsid w:val="00AE25E2"/>
    <w:rsid w:val="00AE6A23"/>
    <w:rsid w:val="00B06CA5"/>
    <w:rsid w:val="00B14E9A"/>
    <w:rsid w:val="00B41F61"/>
    <w:rsid w:val="00B42C51"/>
    <w:rsid w:val="00B55332"/>
    <w:rsid w:val="00B64C16"/>
    <w:rsid w:val="00B86E8C"/>
    <w:rsid w:val="00BB7061"/>
    <w:rsid w:val="00BE1A00"/>
    <w:rsid w:val="00BE48BD"/>
    <w:rsid w:val="00BE52C0"/>
    <w:rsid w:val="00C014CA"/>
    <w:rsid w:val="00C224E4"/>
    <w:rsid w:val="00C22CF0"/>
    <w:rsid w:val="00C37319"/>
    <w:rsid w:val="00C56C72"/>
    <w:rsid w:val="00CA6457"/>
    <w:rsid w:val="00CC6E4D"/>
    <w:rsid w:val="00D17F2E"/>
    <w:rsid w:val="00D46194"/>
    <w:rsid w:val="00D67A95"/>
    <w:rsid w:val="00D8687D"/>
    <w:rsid w:val="00DA4010"/>
    <w:rsid w:val="00DA602C"/>
    <w:rsid w:val="00DE62AE"/>
    <w:rsid w:val="00E01293"/>
    <w:rsid w:val="00E027D1"/>
    <w:rsid w:val="00E13064"/>
    <w:rsid w:val="00E23175"/>
    <w:rsid w:val="00E231D2"/>
    <w:rsid w:val="00E43E16"/>
    <w:rsid w:val="00E60250"/>
    <w:rsid w:val="00E769FE"/>
    <w:rsid w:val="00EA2CBE"/>
    <w:rsid w:val="00EC218D"/>
    <w:rsid w:val="00EC6669"/>
    <w:rsid w:val="00EE6224"/>
    <w:rsid w:val="00F25717"/>
    <w:rsid w:val="00F32FEE"/>
    <w:rsid w:val="00F50E09"/>
    <w:rsid w:val="00F53E69"/>
    <w:rsid w:val="00F57EE2"/>
    <w:rsid w:val="00F71041"/>
    <w:rsid w:val="00F83F2D"/>
    <w:rsid w:val="0465231D"/>
    <w:rsid w:val="0ED72759"/>
    <w:rsid w:val="0F6A6B1C"/>
    <w:rsid w:val="1EBA02D4"/>
    <w:rsid w:val="298820D9"/>
    <w:rsid w:val="2CDE5E92"/>
    <w:rsid w:val="2F8A227C"/>
    <w:rsid w:val="37AB5386"/>
    <w:rsid w:val="47B17686"/>
    <w:rsid w:val="48CF3CE5"/>
    <w:rsid w:val="49EC67EB"/>
    <w:rsid w:val="4ED40108"/>
    <w:rsid w:val="4F9D2EEC"/>
    <w:rsid w:val="7F265E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9"/>
    <w:qFormat/>
    <w:uiPriority w:val="99"/>
    <w:pPr>
      <w:widowControl/>
      <w:spacing w:before="240" w:after="60"/>
      <w:jc w:val="left"/>
      <w:outlineLvl w:val="6"/>
    </w:pPr>
    <w:rPr>
      <w:rFonts w:ascii="Calibri" w:hAnsi="Calibri"/>
      <w:kern w:val="0"/>
      <w:sz w:val="24"/>
    </w:rPr>
  </w:style>
  <w:style w:type="paragraph" w:styleId="9">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19">
    <w:name w:val="Default Paragraph Font"/>
    <w:semiHidden/>
    <w:qFormat/>
    <w:uiPriority w:val="99"/>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2"/>
    <w:semiHidden/>
    <w:uiPriority w:val="99"/>
    <w:rPr>
      <w:rFonts w:ascii="宋体"/>
      <w:sz w:val="18"/>
      <w:szCs w:val="18"/>
    </w:rPr>
  </w:style>
  <w:style w:type="paragraph" w:styleId="12">
    <w:name w:val="Balloon Text"/>
    <w:basedOn w:val="1"/>
    <w:link w:val="33"/>
    <w:semiHidden/>
    <w:uiPriority w:val="99"/>
    <w:rPr>
      <w:sz w:val="18"/>
      <w:szCs w:val="18"/>
    </w:rPr>
  </w:style>
  <w:style w:type="paragraph" w:styleId="13">
    <w:name w:val="footer"/>
    <w:basedOn w:val="1"/>
    <w:link w:val="34"/>
    <w:uiPriority w:val="99"/>
    <w:pPr>
      <w:tabs>
        <w:tab w:val="center" w:pos="4153"/>
        <w:tab w:val="right" w:pos="8306"/>
      </w:tabs>
      <w:snapToGrid w:val="0"/>
      <w:jc w:val="left"/>
    </w:pPr>
    <w:rPr>
      <w:rFonts w:ascii="Calibri" w:hAnsi="Calibri"/>
      <w:sz w:val="18"/>
      <w:szCs w:val="18"/>
    </w:rPr>
  </w:style>
  <w:style w:type="paragraph" w:styleId="14">
    <w:name w:val="header"/>
    <w:basedOn w:val="1"/>
    <w:link w:val="35"/>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6"/>
    <w:qFormat/>
    <w:uiPriority w:val="99"/>
    <w:pPr>
      <w:widowControl/>
      <w:spacing w:after="60"/>
      <w:jc w:val="center"/>
      <w:outlineLvl w:val="1"/>
    </w:pPr>
    <w:rPr>
      <w:rFonts w:ascii="Cambria" w:hAnsi="Cambr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7"/>
    <w:qFormat/>
    <w:uiPriority w:val="99"/>
    <w:pPr>
      <w:widowControl/>
      <w:spacing w:before="240" w:after="60"/>
      <w:jc w:val="center"/>
      <w:outlineLvl w:val="0"/>
    </w:pPr>
    <w:rPr>
      <w:rFonts w:ascii="Cambria" w:hAnsi="Cambria"/>
      <w:b/>
      <w:bCs/>
      <w:kern w:val="28"/>
      <w:sz w:val="32"/>
      <w:szCs w:val="32"/>
    </w:rPr>
  </w:style>
  <w:style w:type="character" w:styleId="20">
    <w:name w:val="Strong"/>
    <w:basedOn w:val="19"/>
    <w:qFormat/>
    <w:uiPriority w:val="99"/>
    <w:rPr>
      <w:rFonts w:cs="Times New Roman"/>
      <w:b/>
      <w:bCs/>
    </w:rPr>
  </w:style>
  <w:style w:type="character" w:styleId="21">
    <w:name w:val="page number"/>
    <w:basedOn w:val="19"/>
    <w:qFormat/>
    <w:locked/>
    <w:uiPriority w:val="99"/>
    <w:rPr>
      <w:rFonts w:cs="Times New Roman"/>
    </w:rPr>
  </w:style>
  <w:style w:type="character" w:styleId="22">
    <w:name w:val="Emphasis"/>
    <w:basedOn w:val="19"/>
    <w:qFormat/>
    <w:uiPriority w:val="99"/>
    <w:rPr>
      <w:rFonts w:ascii="Calibri" w:hAnsi="Calibri" w:cs="Times New Roman"/>
      <w:b/>
      <w:i/>
      <w:iCs/>
    </w:rPr>
  </w:style>
  <w:style w:type="character" w:customStyle="1" w:styleId="23">
    <w:name w:val="Heading 1 Char"/>
    <w:basedOn w:val="19"/>
    <w:link w:val="2"/>
    <w:locked/>
    <w:uiPriority w:val="99"/>
    <w:rPr>
      <w:rFonts w:ascii="Cambria" w:hAnsi="Cambria" w:eastAsia="宋体" w:cs="Times New Roman"/>
      <w:b/>
      <w:bCs/>
      <w:kern w:val="32"/>
      <w:sz w:val="32"/>
      <w:szCs w:val="32"/>
    </w:rPr>
  </w:style>
  <w:style w:type="character" w:customStyle="1" w:styleId="24">
    <w:name w:val="Heading 2 Char"/>
    <w:basedOn w:val="19"/>
    <w:link w:val="3"/>
    <w:semiHidden/>
    <w:locked/>
    <w:uiPriority w:val="99"/>
    <w:rPr>
      <w:rFonts w:ascii="Cambria" w:hAnsi="Cambria" w:eastAsia="宋体" w:cs="Times New Roman"/>
      <w:b/>
      <w:bCs/>
      <w:i/>
      <w:iCs/>
      <w:sz w:val="28"/>
      <w:szCs w:val="28"/>
    </w:rPr>
  </w:style>
  <w:style w:type="character" w:customStyle="1" w:styleId="25">
    <w:name w:val="Heading 3 Char"/>
    <w:basedOn w:val="19"/>
    <w:link w:val="4"/>
    <w:semiHidden/>
    <w:locked/>
    <w:uiPriority w:val="99"/>
    <w:rPr>
      <w:rFonts w:ascii="Cambria" w:hAnsi="Cambria" w:eastAsia="宋体" w:cs="Times New Roman"/>
      <w:b/>
      <w:bCs/>
      <w:sz w:val="26"/>
      <w:szCs w:val="26"/>
    </w:rPr>
  </w:style>
  <w:style w:type="character" w:customStyle="1" w:styleId="26">
    <w:name w:val="Heading 4 Char"/>
    <w:basedOn w:val="19"/>
    <w:link w:val="5"/>
    <w:semiHidden/>
    <w:locked/>
    <w:uiPriority w:val="99"/>
    <w:rPr>
      <w:rFonts w:cs="Times New Roman"/>
      <w:b/>
      <w:bCs/>
      <w:sz w:val="28"/>
      <w:szCs w:val="28"/>
    </w:rPr>
  </w:style>
  <w:style w:type="character" w:customStyle="1" w:styleId="27">
    <w:name w:val="Heading 5 Char"/>
    <w:basedOn w:val="19"/>
    <w:link w:val="6"/>
    <w:semiHidden/>
    <w:locked/>
    <w:uiPriority w:val="99"/>
    <w:rPr>
      <w:rFonts w:cs="Times New Roman"/>
      <w:b/>
      <w:bCs/>
      <w:i/>
      <w:iCs/>
      <w:sz w:val="26"/>
      <w:szCs w:val="26"/>
    </w:rPr>
  </w:style>
  <w:style w:type="character" w:customStyle="1" w:styleId="28">
    <w:name w:val="Heading 6 Char"/>
    <w:basedOn w:val="19"/>
    <w:link w:val="7"/>
    <w:semiHidden/>
    <w:locked/>
    <w:uiPriority w:val="99"/>
    <w:rPr>
      <w:rFonts w:cs="Times New Roman"/>
      <w:b/>
      <w:bCs/>
    </w:rPr>
  </w:style>
  <w:style w:type="character" w:customStyle="1" w:styleId="29">
    <w:name w:val="Heading 7 Char"/>
    <w:basedOn w:val="19"/>
    <w:link w:val="8"/>
    <w:semiHidden/>
    <w:locked/>
    <w:uiPriority w:val="99"/>
    <w:rPr>
      <w:rFonts w:cs="Times New Roman"/>
      <w:sz w:val="24"/>
      <w:szCs w:val="24"/>
    </w:rPr>
  </w:style>
  <w:style w:type="character" w:customStyle="1" w:styleId="30">
    <w:name w:val="Heading 8 Char"/>
    <w:basedOn w:val="19"/>
    <w:link w:val="9"/>
    <w:semiHidden/>
    <w:locked/>
    <w:uiPriority w:val="99"/>
    <w:rPr>
      <w:rFonts w:cs="Times New Roman"/>
      <w:i/>
      <w:iCs/>
      <w:sz w:val="24"/>
      <w:szCs w:val="24"/>
    </w:rPr>
  </w:style>
  <w:style w:type="character" w:customStyle="1" w:styleId="31">
    <w:name w:val="Heading 9 Char"/>
    <w:basedOn w:val="19"/>
    <w:link w:val="10"/>
    <w:semiHidden/>
    <w:locked/>
    <w:uiPriority w:val="99"/>
    <w:rPr>
      <w:rFonts w:ascii="Cambria" w:hAnsi="Cambria" w:eastAsia="宋体" w:cs="Times New Roman"/>
    </w:rPr>
  </w:style>
  <w:style w:type="character" w:customStyle="1" w:styleId="32">
    <w:name w:val="Document Map Char"/>
    <w:basedOn w:val="19"/>
    <w:link w:val="11"/>
    <w:semiHidden/>
    <w:locked/>
    <w:uiPriority w:val="99"/>
    <w:rPr>
      <w:rFonts w:ascii="宋体" w:hAnsi="Times New Roman" w:eastAsia="宋体" w:cs="Times New Roman"/>
      <w:kern w:val="2"/>
      <w:sz w:val="18"/>
      <w:szCs w:val="18"/>
    </w:rPr>
  </w:style>
  <w:style w:type="character" w:customStyle="1" w:styleId="33">
    <w:name w:val="Balloon Text Char"/>
    <w:basedOn w:val="19"/>
    <w:link w:val="12"/>
    <w:semiHidden/>
    <w:locked/>
    <w:uiPriority w:val="99"/>
    <w:rPr>
      <w:rFonts w:ascii="Times New Roman" w:hAnsi="Times New Roman" w:eastAsia="宋体" w:cs="Times New Roman"/>
      <w:kern w:val="2"/>
      <w:sz w:val="18"/>
      <w:szCs w:val="18"/>
    </w:rPr>
  </w:style>
  <w:style w:type="character" w:customStyle="1" w:styleId="34">
    <w:name w:val="Footer Char"/>
    <w:basedOn w:val="19"/>
    <w:link w:val="13"/>
    <w:locked/>
    <w:uiPriority w:val="99"/>
    <w:rPr>
      <w:rFonts w:ascii="Calibri" w:hAnsi="Calibri" w:eastAsia="宋体" w:cs="Times New Roman"/>
      <w:kern w:val="2"/>
      <w:sz w:val="18"/>
      <w:szCs w:val="18"/>
    </w:rPr>
  </w:style>
  <w:style w:type="character" w:customStyle="1" w:styleId="35">
    <w:name w:val="Header Char"/>
    <w:basedOn w:val="19"/>
    <w:link w:val="14"/>
    <w:locked/>
    <w:uiPriority w:val="99"/>
    <w:rPr>
      <w:rFonts w:ascii="Calibri" w:hAnsi="Calibri" w:eastAsia="宋体" w:cs="Times New Roman"/>
      <w:kern w:val="2"/>
      <w:sz w:val="18"/>
      <w:szCs w:val="18"/>
    </w:rPr>
  </w:style>
  <w:style w:type="character" w:customStyle="1" w:styleId="36">
    <w:name w:val="Subtitle Char"/>
    <w:basedOn w:val="19"/>
    <w:link w:val="15"/>
    <w:qFormat/>
    <w:locked/>
    <w:uiPriority w:val="99"/>
    <w:rPr>
      <w:rFonts w:ascii="Cambria" w:hAnsi="Cambria" w:eastAsia="宋体" w:cs="Times New Roman"/>
      <w:sz w:val="24"/>
      <w:szCs w:val="24"/>
    </w:rPr>
  </w:style>
  <w:style w:type="character" w:customStyle="1" w:styleId="37">
    <w:name w:val="Title Char"/>
    <w:basedOn w:val="19"/>
    <w:link w:val="17"/>
    <w:locked/>
    <w:uiPriority w:val="99"/>
    <w:rPr>
      <w:rFonts w:ascii="Cambria" w:hAnsi="Cambria" w:eastAsia="宋体" w:cs="Times New Roman"/>
      <w:b/>
      <w:bCs/>
      <w:kern w:val="28"/>
      <w:sz w:val="32"/>
      <w:szCs w:val="32"/>
    </w:rPr>
  </w:style>
  <w:style w:type="paragraph" w:styleId="38">
    <w:name w:val="No Spacing"/>
    <w:basedOn w:val="1"/>
    <w:qFormat/>
    <w:uiPriority w:val="99"/>
    <w:pPr>
      <w:widowControl/>
      <w:jc w:val="left"/>
    </w:pPr>
    <w:rPr>
      <w:rFonts w:ascii="Calibri" w:hAnsi="Calibri"/>
      <w:kern w:val="0"/>
      <w:sz w:val="24"/>
      <w:szCs w:val="32"/>
      <w:lang w:eastAsia="en-US"/>
    </w:rPr>
  </w:style>
  <w:style w:type="paragraph" w:styleId="39">
    <w:name w:val="List Paragraph"/>
    <w:basedOn w:val="1"/>
    <w:qFormat/>
    <w:uiPriority w:val="99"/>
    <w:pPr>
      <w:widowControl/>
      <w:ind w:left="720"/>
      <w:contextualSpacing/>
      <w:jc w:val="left"/>
    </w:pPr>
    <w:rPr>
      <w:rFonts w:ascii="Calibri" w:hAnsi="Calibri"/>
      <w:kern w:val="0"/>
      <w:sz w:val="24"/>
      <w:lang w:eastAsia="en-US"/>
    </w:rPr>
  </w:style>
  <w:style w:type="paragraph" w:styleId="40">
    <w:name w:val="Quote"/>
    <w:basedOn w:val="1"/>
    <w:next w:val="1"/>
    <w:link w:val="41"/>
    <w:qFormat/>
    <w:uiPriority w:val="99"/>
    <w:pPr>
      <w:widowControl/>
      <w:jc w:val="left"/>
    </w:pPr>
    <w:rPr>
      <w:rFonts w:ascii="Calibri" w:hAnsi="Calibri"/>
      <w:i/>
      <w:kern w:val="0"/>
      <w:sz w:val="24"/>
    </w:rPr>
  </w:style>
  <w:style w:type="character" w:customStyle="1" w:styleId="41">
    <w:name w:val="Quote Char"/>
    <w:basedOn w:val="19"/>
    <w:link w:val="40"/>
    <w:locked/>
    <w:uiPriority w:val="99"/>
    <w:rPr>
      <w:rFonts w:cs="Times New Roman"/>
      <w:i/>
      <w:sz w:val="24"/>
      <w:szCs w:val="24"/>
    </w:rPr>
  </w:style>
  <w:style w:type="paragraph" w:styleId="42">
    <w:name w:val="Intense Quote"/>
    <w:basedOn w:val="1"/>
    <w:next w:val="1"/>
    <w:link w:val="43"/>
    <w:qFormat/>
    <w:uiPriority w:val="99"/>
    <w:pPr>
      <w:widowControl/>
      <w:ind w:left="720" w:right="720"/>
      <w:jc w:val="left"/>
    </w:pPr>
    <w:rPr>
      <w:rFonts w:ascii="Calibri" w:hAnsi="Calibri"/>
      <w:b/>
      <w:i/>
      <w:kern w:val="0"/>
      <w:sz w:val="24"/>
      <w:szCs w:val="22"/>
    </w:rPr>
  </w:style>
  <w:style w:type="character" w:customStyle="1" w:styleId="43">
    <w:name w:val="Intense Quote Char"/>
    <w:basedOn w:val="19"/>
    <w:link w:val="42"/>
    <w:locked/>
    <w:uiPriority w:val="99"/>
    <w:rPr>
      <w:rFonts w:cs="Times New Roman"/>
      <w:b/>
      <w:i/>
      <w:sz w:val="24"/>
    </w:rPr>
  </w:style>
  <w:style w:type="character" w:customStyle="1" w:styleId="44">
    <w:name w:val="Subtle Emphasis1"/>
    <w:qFormat/>
    <w:uiPriority w:val="99"/>
    <w:rPr>
      <w:i/>
      <w:color w:val="5A5A5A"/>
    </w:rPr>
  </w:style>
  <w:style w:type="character" w:customStyle="1" w:styleId="45">
    <w:name w:val="Intense Emphasis1"/>
    <w:basedOn w:val="19"/>
    <w:qFormat/>
    <w:uiPriority w:val="99"/>
    <w:rPr>
      <w:rFonts w:cs="Times New Roman"/>
      <w:b/>
      <w:i/>
      <w:sz w:val="24"/>
      <w:szCs w:val="24"/>
      <w:u w:val="single"/>
    </w:rPr>
  </w:style>
  <w:style w:type="character" w:customStyle="1" w:styleId="46">
    <w:name w:val="Subtle Reference1"/>
    <w:basedOn w:val="19"/>
    <w:uiPriority w:val="99"/>
    <w:rPr>
      <w:rFonts w:cs="Times New Roman"/>
      <w:sz w:val="24"/>
      <w:szCs w:val="24"/>
      <w:u w:val="single"/>
    </w:rPr>
  </w:style>
  <w:style w:type="character" w:customStyle="1" w:styleId="47">
    <w:name w:val="Intense Reference1"/>
    <w:basedOn w:val="19"/>
    <w:qFormat/>
    <w:uiPriority w:val="99"/>
    <w:rPr>
      <w:rFonts w:cs="Times New Roman"/>
      <w:b/>
      <w:sz w:val="24"/>
      <w:u w:val="single"/>
    </w:rPr>
  </w:style>
  <w:style w:type="character" w:customStyle="1" w:styleId="48">
    <w:name w:val="Book Title1"/>
    <w:basedOn w:val="19"/>
    <w:uiPriority w:val="99"/>
    <w:rPr>
      <w:rFonts w:ascii="Cambria" w:hAnsi="Cambria" w:eastAsia="宋体" w:cs="Times New Roman"/>
      <w:b/>
      <w:i/>
      <w:sz w:val="24"/>
      <w:szCs w:val="24"/>
    </w:rPr>
  </w:style>
  <w:style w:type="paragraph" w:customStyle="1" w:styleId="49">
    <w:name w:val="TOC Heading1"/>
    <w:basedOn w:val="2"/>
    <w:next w:val="1"/>
    <w:semiHidden/>
    <w:uiPriority w:val="99"/>
    <w:pPr>
      <w:outlineLvl w:val="9"/>
    </w:pPr>
    <w:rPr>
      <w:lang w:eastAsia="en-US"/>
    </w:rPr>
  </w:style>
  <w:style w:type="paragraph" w:customStyle="1" w:styleId="50">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 w:type="paragraph" w:customStyle="1" w:styleId="51">
    <w:name w:val="p0"/>
    <w:basedOn w:val="1"/>
    <w:qFormat/>
    <w:uiPriority w:val="99"/>
    <w:pPr>
      <w:widowControl/>
    </w:pPr>
    <w:rPr>
      <w:rFonts w:ascii="Calibri" w:hAnsi="Calibri"/>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334</Words>
  <Characters>1906</Characters>
  <Lines>0</Lines>
  <Paragraphs>0</Paragraphs>
  <TotalTime>3</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2019-01-29T17:24:00Z</dcterms:created>
  <dc:creator>赵 恺（预算处）</dc:creator>
  <cp:lastModifiedBy>Administrator</cp:lastModifiedBy>
  <cp:lastPrinted>2018-12-17T10:15:00Z</cp:lastPrinted>
  <dcterms:modified xsi:type="dcterms:W3CDTF">2019-08-23T08:56:56Z</dcterms:modified>
  <dc:title>新疆财政支出绩效自评报告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